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B25EC">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270CA04">
      <w:pPr>
        <w:spacing w:line="540" w:lineRule="exact"/>
        <w:jc w:val="center"/>
        <w:rPr>
          <w:rFonts w:ascii="方正小标宋_GBK" w:hAnsi="华文中宋" w:eastAsia="方正小标宋_GBK" w:cs="宋体"/>
          <w:b/>
          <w:kern w:val="0"/>
          <w:sz w:val="48"/>
          <w:szCs w:val="48"/>
        </w:rPr>
      </w:pPr>
    </w:p>
    <w:p w14:paraId="4D56A740">
      <w:pPr>
        <w:spacing w:line="540" w:lineRule="exact"/>
        <w:jc w:val="center"/>
        <w:rPr>
          <w:rFonts w:ascii="方正小标宋_GBK" w:hAnsi="华文中宋" w:eastAsia="方正小标宋_GBK" w:cs="宋体"/>
          <w:b/>
          <w:kern w:val="0"/>
          <w:sz w:val="48"/>
          <w:szCs w:val="48"/>
        </w:rPr>
      </w:pPr>
    </w:p>
    <w:p w14:paraId="2589446E">
      <w:pPr>
        <w:spacing w:line="540" w:lineRule="exact"/>
        <w:jc w:val="center"/>
        <w:rPr>
          <w:rFonts w:ascii="方正小标宋_GBK" w:hAnsi="华文中宋" w:eastAsia="方正小标宋_GBK" w:cs="宋体"/>
          <w:b/>
          <w:kern w:val="0"/>
          <w:sz w:val="48"/>
          <w:szCs w:val="48"/>
        </w:rPr>
      </w:pPr>
    </w:p>
    <w:p w14:paraId="2A071D22">
      <w:pPr>
        <w:spacing w:line="540" w:lineRule="exact"/>
        <w:jc w:val="center"/>
        <w:rPr>
          <w:rFonts w:ascii="方正小标宋_GBK" w:hAnsi="华文中宋" w:eastAsia="方正小标宋_GBK" w:cs="宋体"/>
          <w:b/>
          <w:kern w:val="0"/>
          <w:sz w:val="48"/>
          <w:szCs w:val="48"/>
        </w:rPr>
      </w:pPr>
    </w:p>
    <w:p w14:paraId="0303B578">
      <w:pPr>
        <w:spacing w:line="540" w:lineRule="exact"/>
        <w:jc w:val="center"/>
        <w:rPr>
          <w:rFonts w:ascii="方正小标宋_GBK" w:hAnsi="华文中宋" w:eastAsia="方正小标宋_GBK" w:cs="宋体"/>
          <w:b/>
          <w:kern w:val="0"/>
          <w:sz w:val="48"/>
          <w:szCs w:val="48"/>
        </w:rPr>
      </w:pPr>
    </w:p>
    <w:p w14:paraId="2A94CD09">
      <w:pPr>
        <w:spacing w:line="540" w:lineRule="exact"/>
        <w:jc w:val="center"/>
        <w:rPr>
          <w:rFonts w:ascii="方正小标宋_GBK" w:hAnsi="华文中宋" w:eastAsia="方正小标宋_GBK" w:cs="宋体"/>
          <w:b/>
          <w:kern w:val="0"/>
          <w:sz w:val="48"/>
          <w:szCs w:val="48"/>
        </w:rPr>
      </w:pPr>
    </w:p>
    <w:p w14:paraId="6614429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52E3B97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278F800">
      <w:pPr>
        <w:spacing w:line="540" w:lineRule="exact"/>
        <w:jc w:val="center"/>
        <w:rPr>
          <w:rFonts w:ascii="华文中宋" w:hAnsi="华文中宋" w:eastAsia="华文中宋" w:cs="宋体"/>
          <w:b/>
          <w:kern w:val="0"/>
          <w:sz w:val="52"/>
          <w:szCs w:val="52"/>
        </w:rPr>
      </w:pPr>
    </w:p>
    <w:p w14:paraId="7CFC64E6">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AE44FE0">
      <w:pPr>
        <w:spacing w:line="700" w:lineRule="exact"/>
        <w:jc w:val="left"/>
        <w:rPr>
          <w:rFonts w:hint="eastAsia" w:hAnsi="宋体" w:eastAsia="仿宋_GB2312" w:cs="宋体"/>
          <w:kern w:val="0"/>
          <w:sz w:val="36"/>
          <w:szCs w:val="36"/>
        </w:rPr>
      </w:pPr>
    </w:p>
    <w:p w14:paraId="5469E4D4">
      <w:pPr>
        <w:spacing w:line="700" w:lineRule="exact"/>
        <w:jc w:val="left"/>
        <w:rPr>
          <w:rFonts w:hint="eastAsia" w:hAnsi="宋体" w:eastAsia="仿宋_GB2312" w:cs="宋体"/>
          <w:kern w:val="0"/>
          <w:sz w:val="36"/>
          <w:szCs w:val="36"/>
        </w:rPr>
      </w:pPr>
    </w:p>
    <w:p w14:paraId="2C23EA44">
      <w:pPr>
        <w:spacing w:line="700" w:lineRule="exact"/>
        <w:jc w:val="left"/>
        <w:rPr>
          <w:rFonts w:hint="eastAsia" w:hAnsi="宋体" w:eastAsia="仿宋_GB2312" w:cs="宋体"/>
          <w:kern w:val="0"/>
          <w:sz w:val="36"/>
          <w:szCs w:val="36"/>
          <w:lang w:eastAsia="zh-CN"/>
        </w:rPr>
      </w:pPr>
    </w:p>
    <w:p w14:paraId="34BFB74F">
      <w:pPr>
        <w:spacing w:line="700" w:lineRule="exact"/>
        <w:jc w:val="left"/>
        <w:rPr>
          <w:rFonts w:hint="eastAsia" w:hAnsi="宋体" w:eastAsia="仿宋_GB2312" w:cs="宋体"/>
          <w:kern w:val="0"/>
          <w:sz w:val="36"/>
          <w:szCs w:val="36"/>
          <w:lang w:eastAsia="zh-CN"/>
        </w:rPr>
      </w:pPr>
    </w:p>
    <w:p w14:paraId="47E42028">
      <w:pPr>
        <w:spacing w:line="700" w:lineRule="exact"/>
        <w:jc w:val="left"/>
        <w:rPr>
          <w:rFonts w:hint="eastAsia" w:hAnsi="宋体" w:eastAsia="仿宋_GB2312" w:cs="宋体"/>
          <w:kern w:val="0"/>
          <w:sz w:val="36"/>
          <w:szCs w:val="36"/>
          <w:lang w:eastAsia="zh-CN"/>
        </w:rPr>
      </w:pPr>
    </w:p>
    <w:p w14:paraId="3D01534A">
      <w:pPr>
        <w:spacing w:line="700" w:lineRule="exact"/>
        <w:jc w:val="left"/>
        <w:rPr>
          <w:rFonts w:hint="eastAsia" w:hAnsi="宋体" w:eastAsia="仿宋_GB2312" w:cs="宋体"/>
          <w:kern w:val="0"/>
          <w:sz w:val="36"/>
          <w:szCs w:val="36"/>
          <w:lang w:eastAsia="zh-CN"/>
        </w:rPr>
      </w:pPr>
    </w:p>
    <w:p w14:paraId="49C8814C">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克州林业局</w:t>
      </w:r>
    </w:p>
    <w:p w14:paraId="04F9292E">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2D725EE2">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6E1BA4E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31F3F86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自治区关于林草业及其生态建设的法律、法规和方针、政策；拟订全州林草业发展战略、中长期规划，并组织实施和监督检查；组织开展全州森林资源、陆生野生动植物资源、湿地和荒漠的调查、动态监测和评估，并统一发布相关信息；承办全州林草业生态文明建设的有关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组织、协调、指导和监督全州造林绿化、迹地更新、花卉等工作；指导各类公益林和商品林的培育和以植树种草等生物措施防治水土流失工作；指导、监督全民义务植树、造林绿化工作。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组织全州森林资源调查、动态监测和统计；审核、监督森林资源的使用；监督检查林木凭证采伐、运输；组织、指导林地、林权管理；组织实施林权登记、发证工作，依法对征用、占用林地进行审核报批工作。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组织、协调、指导和监督全州湿地保护工作。执行湿地保护的有关自治区标准和规定；组织实施建立湿地保护管理工作；监督湿地的合理利用。</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组织、协调、指导和监督全州荒漠化防治工作。认真执行相关标准和规定，监督沙化土地的合理利用；组织、指导沙尘暴灾害预测预报和应急处置。</w:t>
      </w:r>
      <w:r>
        <w:rPr>
          <w:rFonts w:hint="eastAsia" w:ascii="仿宋_GB2312" w:hAnsi="宋体" w:eastAsia="仿宋_GB2312"/>
          <w:b w:val="0"/>
          <w:bCs/>
          <w:sz w:val="32"/>
          <w:szCs w:val="32"/>
        </w:rPr>
        <w:cr/>
      </w:r>
      <w:r>
        <w:rPr>
          <w:rFonts w:hint="eastAsia" w:ascii="仿宋_GB2312" w:hAnsi="宋体" w:eastAsia="仿宋_GB2312"/>
          <w:b w:val="0"/>
          <w:bCs/>
          <w:sz w:val="32"/>
          <w:szCs w:val="32"/>
        </w:rPr>
        <w:t>　　依法组织、管理和指导陆生野生动植物的救护繁育、栖息地恢复发展、疫源疫病监测；负责克州范围内濒危物种进出口和国家级、自治区级保护的野生动物、珍稀树种、珍稀野生植物及其产品出疆的报批工作。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全州林草业系统自然保护区的监督管理。在国家和自治区自然保护区区划、规划原则的指导下，依法指导森林、湿地、荒漠化和陆生野生动物类型自然保护区的建设和管理；监督管理林草业生物种质资源、转基因生物安全、植物新品种保护；按分工负责生物多样性保护的有关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制订集体林权制度、国有林场等重大林草业改革意见并指导监督实施；组织制订农村林草业发展、维护农民经营林草业合法权益的政策措施；指导、监督农村林地承包经营和林权流转；会同有关部门指导林权纠纷调处和林地承包合同纠纷仲裁；依法负责退耕还林工作；代表自治州人民政府指导克州平原林场、克州奥依塔克林场、克州中心苗圃的建设和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监督检查全州各产业对森林、湿地、荒漠和陆生野生动植物资源的开发利用。认真执行林草业产业国家标准并监督实施；组织指导林产品质量监督。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承办克州森林防火指挥部的具体工作；承办林草业行政执法监管的责任；监督管理林草业公安队伍；指导全州林草业重大违法案件的查处；指导林草业有害生物的防治、检疫工作。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认真执行自治区林草业及其生态建设的财政经济调节政策和生态补偿制度；组织制订自治州本级部门预算并组织实施；管理监督自治州本级林草业资金；管理自治州本级林草业国有资产；会同有关部门对自治区规划内和年度计划内固定资产投资项目进行审计。</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国家和自治区有关林果业发展的法律、法规和方针、政策；建议起草自治州有关林果业发展的方针、政策、规程、标准，并监督执行；组织制订全州林果业发展规划和年度计划，并组织实施和监督检查；指导全州林果业的生产经营、林果业灾害综合防控体系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组织指导林草业科技和教育工作；指导全州林草业队伍建设。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承办自治州人民政府及上级林草业部门交办的其他事项。 </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林业和草原局单位无下属预算单位，林业和草原局下设6个科室，分别是办公室、业务科、州生态修复中心、州森林草原防火中心、州林业有害生物防治检疫局、州野生动植物保护管理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克孜勒苏柯尔克孜自治州林草局单位编制数30，实有人数37人，其中：在职27人，减少0人；退休10人，增加0人；离休0 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（1）扎实推进林草各项改革，全面推行林长制</w:t>
      </w:r>
      <w:r>
        <w:rPr>
          <w:rFonts w:hint="eastAsia" w:ascii="仿宋_GB2312" w:hAnsi="宋体" w:eastAsia="仿宋_GB2312"/>
          <w:b w:val="0"/>
          <w:bCs/>
          <w:sz w:val="32"/>
          <w:szCs w:val="32"/>
        </w:rPr>
        <w:cr/>
      </w:r>
      <w:r>
        <w:rPr>
          <w:rFonts w:hint="eastAsia" w:ascii="仿宋_GB2312" w:hAnsi="宋体" w:eastAsia="仿宋_GB2312"/>
          <w:b w:val="0"/>
          <w:bCs/>
          <w:sz w:val="32"/>
          <w:szCs w:val="32"/>
        </w:rPr>
        <w:t>　　认真学习贯彻落实全国自然资源工作会议和全国林业和草原工作会议关于全面推行林长制工作精神，坚决贯彻落实习近平生态文明思想。切实加强森林资源保护，全面提升克州森林和草原等生态系统功能，根据自治区全面推行林长制工作视频会议精神和自治区全面推行林长制领导小组办公室第一次会议关于全面推行林长制工作的安排部署，进一步压实全州各级党委和政府保护发展森林草原资源的主体责任，构建各级党政领导同志担任林长，全面负责所管辖行政区域内森林草原资源保护发展的管理机制，全面推进林长制各项工作有序推进。</w:t>
      </w:r>
      <w:r>
        <w:rPr>
          <w:rFonts w:hint="eastAsia" w:ascii="仿宋_GB2312" w:hAnsi="宋体" w:eastAsia="仿宋_GB2312"/>
          <w:b w:val="0"/>
          <w:bCs/>
          <w:sz w:val="32"/>
          <w:szCs w:val="32"/>
        </w:rPr>
        <w:cr/>
      </w:r>
      <w:r>
        <w:rPr>
          <w:rFonts w:hint="eastAsia" w:ascii="仿宋_GB2312" w:hAnsi="宋体" w:eastAsia="仿宋_GB2312"/>
          <w:b w:val="0"/>
          <w:bCs/>
          <w:sz w:val="32"/>
          <w:szCs w:val="32"/>
        </w:rPr>
        <w:t>　　（2）深入实施林果业提质增效工程</w:t>
      </w:r>
      <w:r>
        <w:rPr>
          <w:rFonts w:hint="eastAsia" w:ascii="仿宋_GB2312" w:hAnsi="宋体" w:eastAsia="仿宋_GB2312"/>
          <w:b w:val="0"/>
          <w:bCs/>
          <w:sz w:val="32"/>
          <w:szCs w:val="32"/>
        </w:rPr>
        <w:cr/>
      </w:r>
      <w:r>
        <w:rPr>
          <w:rFonts w:hint="eastAsia" w:ascii="仿宋_GB2312" w:hAnsi="宋体" w:eastAsia="仿宋_GB2312"/>
          <w:b w:val="0"/>
          <w:bCs/>
          <w:sz w:val="32"/>
          <w:szCs w:val="32"/>
        </w:rPr>
        <w:t>　　扎实开展的林果提质增效技术指导服务，加强对各县市林果技术队伍的培训和指导，打造一只“永不走”的林果技术服务队。2021年上半年，全州完成林果技能现场培训382场次15065人，开展林业有害生物防治51.26万亩，嫁接12.76万亩，整形修剪23.19万亩，实施肥水管理14.96万亩。阿图什市新增无花果种植面积0.0557万亩。投入推动林果技术服务合作社和企业能力提升资金40万元；充分用好国内重要林果展会平台，新疆中科沙棘科技有限公司、乌恰斯姆哈纳志成农民专业合作社和新疆荣亚农业科技有限公司3家林果企业、合作社报名参展，积极宣传克州特色林果产品，让克州优质果品和林果企业、合作社“走出去”。</w:t>
      </w:r>
      <w:r>
        <w:rPr>
          <w:rFonts w:hint="eastAsia" w:ascii="仿宋_GB2312" w:hAnsi="宋体" w:eastAsia="仿宋_GB2312"/>
          <w:b w:val="0"/>
          <w:bCs/>
          <w:sz w:val="32"/>
          <w:szCs w:val="32"/>
        </w:rPr>
        <w:cr/>
      </w:r>
      <w:r>
        <w:rPr>
          <w:rFonts w:hint="eastAsia" w:ascii="仿宋_GB2312" w:hAnsi="宋体" w:eastAsia="仿宋_GB2312"/>
          <w:b w:val="0"/>
          <w:bCs/>
          <w:sz w:val="32"/>
          <w:szCs w:val="32"/>
        </w:rPr>
        <w:t>　　（3）高质量完成“十四五”规划编制</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积极与自治区林业规划院对接，签订《克州林业和草原保护发展“十四五”规划》编制协议及《技术咨询合同》，加快对《规划》的编制进度，力争2021年10月底前报自治州人民政府审批。二是编制完成《自治州“十四五”期间年森林采伐限额编制成果》，严格落实森林采伐限额管理。三是积极开展《克州天然林保护修复实施方案》编制，18万亩天然林实施以自然恢复为主，人工促进为辅，保育并举的天然林修复措施，遏制天然林分退化，提高森林群落稳定性，切实压实天然林管护责任。</w:t>
      </w:r>
      <w:r>
        <w:rPr>
          <w:rFonts w:hint="eastAsia" w:ascii="仿宋_GB2312" w:hAnsi="宋体" w:eastAsia="仿宋_GB2312"/>
          <w:b w:val="0"/>
          <w:bCs/>
          <w:sz w:val="32"/>
          <w:szCs w:val="32"/>
        </w:rPr>
        <w:cr/>
      </w:r>
      <w:r>
        <w:rPr>
          <w:rFonts w:hint="eastAsia" w:ascii="仿宋_GB2312" w:hAnsi="宋体" w:eastAsia="仿宋_GB2312"/>
          <w:b w:val="0"/>
          <w:bCs/>
          <w:sz w:val="32"/>
          <w:szCs w:val="32"/>
        </w:rPr>
        <w:t>　　（4）扎实做好生态保护与修复</w:t>
      </w:r>
      <w:r>
        <w:rPr>
          <w:rFonts w:hint="eastAsia" w:ascii="仿宋_GB2312" w:hAnsi="宋体" w:eastAsia="仿宋_GB2312"/>
          <w:b w:val="0"/>
          <w:bCs/>
          <w:sz w:val="32"/>
          <w:szCs w:val="32"/>
        </w:rPr>
        <w:cr/>
      </w:r>
      <w:r>
        <w:rPr>
          <w:rFonts w:hint="eastAsia" w:ascii="仿宋_GB2312" w:hAnsi="宋体" w:eastAsia="仿宋_GB2312"/>
          <w:b w:val="0"/>
          <w:bCs/>
          <w:sz w:val="32"/>
          <w:szCs w:val="32"/>
        </w:rPr>
        <w:t>　　扎实开展好国地绿化。2021年国土绿化工作做到早动手、早安排，各项工作有序开展，各县（市）、乡镇（场）造林地点均按计划落实到位。在“3·12”义务植树节期间，积极利用广播电视开展“全民植绿四十载 美丽中国谱新篇”主题宣传，出动宣传车2辆，累计发放宣传资料4500余份。2021年上半年，全州完成造林任务1.2273万亩，种植苗木68.2万株，参加义务植树19.96万人。州委四套班子领导亲自参与了义务植树活动，为全州义务植树起到了模范带动作用。2021年6个村完成“村庄绿化美化”0.0919万亩。</w:t>
      </w:r>
      <w:r>
        <w:rPr>
          <w:rFonts w:hint="eastAsia" w:ascii="仿宋_GB2312" w:hAnsi="宋体" w:eastAsia="仿宋_GB2312"/>
          <w:b w:val="0"/>
          <w:bCs/>
          <w:sz w:val="32"/>
          <w:szCs w:val="32"/>
        </w:rPr>
        <w:cr/>
      </w:r>
      <w:r>
        <w:rPr>
          <w:rFonts w:hint="eastAsia" w:ascii="仿宋_GB2312" w:hAnsi="宋体" w:eastAsia="仿宋_GB2312"/>
          <w:b w:val="0"/>
          <w:bCs/>
          <w:sz w:val="32"/>
          <w:szCs w:val="32"/>
        </w:rPr>
        <w:t>　　强化森林、草原和湿地资源保护管理。一是认真贯彻落实草原生态保护补助奖励政策，持续做好草原禁牧、休牧，落实草畜平衡制度。二是持续开展森林督查反馈疑似图班核查整改，2021年上半年完成森林督查反馈疑似图班核查整改44个。三是积极主动对接、靠前服务涉林涉草规划、选线、立项等工作，推动解决“三难一不畅”问题。2021年上半年，全州办理用于交通、水利、通信、旅游等方面项目建设长期征占用林地71件232.12公顷；征占用草地14件159.34公顷。四是不断巩固中央环保督察整改成果，积极开展自然保护区宣传，加大自然保护地管，加强管护员培训，湿地保护与恢复项目实施进度顺利，积极整合优化自然保护地。2021年上半年，新疆帕米尔高原湿地自然保护区更换破损、内容不符宣传牌16块，阿合奇托什干河国家级湿地公园（试点）通过省级初验，阿克陶县、乌恰县4处风景名胜区完成《总体规划》编制，待自治区评审通过。</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重大危险性、检疫性有害生物防控工作。一是进一步做好重大林业有害生物专项调查和检疫工作，完成各县（市）开展松材线虫病等重大林业有害生物专项调查和检疫专项行动实施方案编制。严格执行《植物检疫要求书》制度和《林业植物检疫登记管理办法》，加强对苹果枝枯病、松材线虫病和天牛等检疫性林业有害生物检疫工作，开展产地检疫苗木17.46万株，复检各类调运苗木56.06万株、木材1307.14立方米，复检率100%。二是葡萄蛀果蛾防控力度不断加大。为确保2021年阿图什市葡萄丰产丰收，最大限度保障农民群众根本利益，州市林草部门扎实推进防控工作，共派出50名技术人员对阿图什市33个村的38949.4亩葡萄开展蛀果蛾虫口基数监测和防治技术指导服务，全市悬挂诱捕（杀）器18703套、迷向丝198072根，化学药物防治与生物诱捕防治技术同步开展；根据6月9日—19日监测记录显示，诱杀总虫数5248头，平均诛杀成虫0.6头，虫害发生率21.4%，轻度发生。三是督促指导阿合奇县积极开展沙棘绕实蝇防治与监测，坚持“以防为主”的防控技术，提高沙棘的产量和品质，增加果农收入。四是切实抓好草原虫害、鼠害和毒害草监测与防治。</w:t>
      </w:r>
      <w:r>
        <w:rPr>
          <w:rFonts w:hint="eastAsia" w:ascii="仿宋_GB2312" w:hAnsi="宋体" w:eastAsia="仿宋_GB2312"/>
          <w:b w:val="0"/>
          <w:bCs/>
          <w:sz w:val="32"/>
          <w:szCs w:val="32"/>
        </w:rPr>
        <w:cr/>
      </w:r>
      <w:r>
        <w:rPr>
          <w:rFonts w:hint="eastAsia" w:ascii="仿宋_GB2312" w:hAnsi="宋体" w:eastAsia="仿宋_GB2312"/>
          <w:b w:val="0"/>
          <w:bCs/>
          <w:sz w:val="32"/>
          <w:szCs w:val="32"/>
        </w:rPr>
        <w:t>　　不断加大野生动植物保护。组织落实国家8部委打击野生动物非法贸易“清风行动”，与相关部门积极配合开展打击违法行为行动，严厉打击乱捕滥猎滥食野生动物等违法行为，革除滥食野生动物陋习，工作稳步推进。</w:t>
      </w:r>
      <w:r>
        <w:rPr>
          <w:rFonts w:hint="eastAsia" w:ascii="仿宋_GB2312" w:hAnsi="宋体" w:eastAsia="仿宋_GB2312"/>
          <w:b w:val="0"/>
          <w:bCs/>
          <w:sz w:val="32"/>
          <w:szCs w:val="32"/>
        </w:rPr>
        <w:cr/>
      </w:r>
      <w:r>
        <w:rPr>
          <w:rFonts w:hint="eastAsia" w:ascii="仿宋_GB2312" w:hAnsi="宋体" w:eastAsia="仿宋_GB2312"/>
          <w:b w:val="0"/>
          <w:bCs/>
          <w:sz w:val="32"/>
          <w:szCs w:val="32"/>
        </w:rPr>
        <w:t>　　全力推进林草项目实施。截至目前，全州林草项目共计20项59个，总资金11149.4万元；整合项目3批，到位资金5165.4万元，合计到位资金16314.8万元。2021年上半年，项目实施方案通过评审50个，正在编制9个；开工项目50个，未开工项目9个。不断完善续建、在建、新开工项目周调度工作制度，专人负责，于每周五前完成林草项目调度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林草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（2）收支管理：领导层是本单位收支业务管理的决策部门，负责审批单位收支业务等事项。涉及“三重一大”事项，根据《克州林草局集体决策制度》和《克州林草局项目管理办法》办理。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林草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523.06万元，项目支出安排资金812.74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本单位2021年度项目支出714.56万元，涉及项目数量6个，其中：属于73类资金590.61万元，重点项目支出93.78万元，涉及重点项目数量1个，重点项目支出与部门项目总支出（除去属于73类资金）的比率为54.56%。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2021年度本单位年初批复部门预算资金总额为745.86万元，年中调增预算总额为491.62万元，调整后全年预算资金总额为1237.48万元。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2021年度本单位部门整体支出资金总额为1237.48万元，预算执行率为100%，预算调整率为</w:t>
      </w:r>
      <w:r>
        <w:rPr>
          <w:rFonts w:hint="eastAsia" w:ascii="仿宋_GB2312" w:hAnsi="宋体" w:eastAsia="仿宋_GB2312"/>
          <w:b w:val="0"/>
          <w:bCs/>
          <w:sz w:val="32"/>
          <w:szCs w:val="32"/>
          <w:lang w:val="en-US" w:eastAsia="zh-CN"/>
        </w:rPr>
        <w:t>65.91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年初政府采购预算数为45万元，实际政府采购数为35.89万元，政府采购执行率为79.7%。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0FD418F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4A22C0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为加强我单位预算管理、规范财务行为我单位制定了《克州林草局内部控制规范》《克州林草局项目管理规范》等资金管理制度，已建立制度均健全且有效运行。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2021年度我单位基本支出预算总额为522.92万元，其中人员经费503.91万元，公用经费19.01万元。实际执行总额为522.92万元，预算执行率100%。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4万元，比上年减少0.74万元，减少15.53%，主要原因是：按照厉行节约的要求，2021年缩减公务车运行维护费，因此支出随之减少。其中，因公出国（境）费支出0万元；公务用车购置及运行维护费支出4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与年初预算数相比情况：一般公共预算“三公”经费支出年初预算数4万元，预算执行数为4万元，执行率为100%，主要原因是：按照厉行节约的要求，2021年缩减公务车运行维护费，因此支出随之减少。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2021年度本单位项目支出预算总额为714.56万元，实际执行资金总额为714.56万元，预算执行率为100%。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2021年度预算安排专项资金1079.09万元，实际支出资金606.77万元，预算执行率为56.23%，涉及项目个数6个，专项经费按照政策要求实行专款专用，不存在截留、挤占、挪用、虚列支出。各项目详细执行情况如下：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2021年林业改革发展专项资金项目:全年预算数为974万元，预算执行数为522.68万元，预算执行率为53.66%。</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自治区财政林业专项资金项目:全年预算数为26万元，预算执行数为5万元，预算执行率为19.23%。</w:t>
      </w:r>
      <w:r>
        <w:rPr>
          <w:rFonts w:hint="eastAsia" w:ascii="仿宋_GB2312" w:hAnsi="宋体" w:eastAsia="仿宋_GB2312"/>
          <w:b w:val="0"/>
          <w:bCs/>
          <w:sz w:val="32"/>
          <w:szCs w:val="32"/>
        </w:rPr>
        <w:cr/>
      </w:r>
      <w:r>
        <w:rPr>
          <w:rFonts w:hint="eastAsia" w:ascii="仿宋_GB2312" w:hAnsi="宋体" w:eastAsia="仿宋_GB2312"/>
          <w:b w:val="0"/>
          <w:bCs/>
          <w:sz w:val="32"/>
          <w:szCs w:val="32"/>
        </w:rPr>
        <w:t>　　林业草原生态恢复项目:全年预算数为20万元，预算执行数为20万元，预算执行率为100%。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林业草原防灾减灾项目:全年预算数为5万元，预算执行数为5万元，预算执行率为100%。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森林生态效益补偿项目:全年预算数为30.09万元，预算执行数为30.09万元，预算执行率为100%。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第一书记办实事经费为民办实事经费项目:全年预算数为24万元，预算执行数为24万元，预算执行率为100%。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2021年度预算安排本级财力资金107.78万元，实际支出资金107.78万元，预算执行率为100%，涉及项目个数2个，各项目详细执行情况如下：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森林植被恢复费项目:全年预算数为93.78万元，预算执行数为93.78万元，预算执行率为100%。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联建工作经费项目:全年预算数为14万元，预算执行数为14万元，预算执行率为100%。</w:t>
      </w:r>
    </w:p>
    <w:p w14:paraId="36F75CF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4D84A52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2021年林业改革发展专项资金项目:依据《关于提前下达2021年中央林业改革发展资金预算</w:t>
      </w:r>
      <w:r>
        <w:rPr>
          <w:rFonts w:hint="eastAsia" w:ascii="仿宋_GB2312" w:hAnsi="宋体" w:eastAsia="仿宋_GB2312"/>
          <w:b w:val="0"/>
          <w:bCs/>
          <w:sz w:val="32"/>
          <w:szCs w:val="32"/>
          <w:lang w:eastAsia="zh-CN"/>
        </w:rPr>
        <w:t>的</w:t>
      </w:r>
      <w:r>
        <w:rPr>
          <w:rFonts w:hint="eastAsia" w:ascii="仿宋_GB2312" w:hAnsi="宋体" w:eastAsia="仿宋_GB2312"/>
          <w:b w:val="0"/>
          <w:bCs/>
          <w:sz w:val="32"/>
          <w:szCs w:val="32"/>
        </w:rPr>
        <w:t>通知》（新财资环[2020]89号）文件。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自治区财政林业专项资金项目:依据《关于拨付2021年自治区财政林业专项资金的通知》（新财资环[2021]18号）文件。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林业草原生态恢复项目：依据《关于提前下达2021中央林业草原生态保护恢复资金预算的通知》（新财资环[2020]90号）文件。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林业草原防灾减灾项目:依据《关于提前下达2020年林业改革发展资金预算的通知》（新财建[2019]435号）</w:t>
      </w:r>
      <w:r>
        <w:rPr>
          <w:rFonts w:hint="eastAsia" w:ascii="仿宋_GB2312" w:hAnsi="宋体" w:eastAsia="仿宋_GB2312"/>
          <w:b w:val="0"/>
          <w:bCs/>
          <w:sz w:val="32"/>
          <w:szCs w:val="32"/>
        </w:rPr>
        <w:cr/>
      </w:r>
      <w:r>
        <w:rPr>
          <w:rFonts w:hint="eastAsia" w:ascii="仿宋_GB2312" w:hAnsi="宋体" w:eastAsia="仿宋_GB2312"/>
          <w:b w:val="0"/>
          <w:bCs/>
          <w:sz w:val="32"/>
          <w:szCs w:val="32"/>
        </w:rPr>
        <w:t>　　森林生态效益补偿项目:依据《关于提前下达2020年林业改革发展资金预算的通知》（新财建[2019]435号）</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6项专项，总投入共计1079.09万元，资金全部到位，实际使用资金606.77万元，专项资金执行率为56.23%。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①制订《植被恢复费使用规范》,为合理合规使用经费提供了有力的制度保障。同时,建立区委组织部项目经费内部管控制度，并严格按要求落实。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我单位共有5个项目，项目实施进度已达到100%.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2021年林业改革发展专项资金项目:主要用于加强森林资源管护，有利于落实国家级公益林生态效益补偿和管护。</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自治区财政林业专项资金项目:主要用于对退化草原生态修复治理面积补助，有利于实现草原生态保护于修复。</w:t>
      </w:r>
      <w:r>
        <w:rPr>
          <w:rFonts w:hint="eastAsia" w:ascii="仿宋_GB2312" w:hAnsi="宋体" w:eastAsia="仿宋_GB2312"/>
          <w:b w:val="0"/>
          <w:bCs/>
          <w:sz w:val="32"/>
          <w:szCs w:val="32"/>
        </w:rPr>
        <w:cr/>
      </w:r>
      <w:r>
        <w:rPr>
          <w:rFonts w:hint="eastAsia" w:ascii="仿宋_GB2312" w:hAnsi="宋体" w:eastAsia="仿宋_GB2312"/>
          <w:b w:val="0"/>
          <w:bCs/>
          <w:sz w:val="32"/>
          <w:szCs w:val="32"/>
        </w:rPr>
        <w:t>　　林业草原生态恢复项目主要用于按照森林法的规定，因工程建设征收占用林地的，须缴纳森林植被恢复费，纳入同级财政预算管理，按省、市、县使用比例及用途。有利于森林植被恢复工程建设、设备购置、森林资源监测调查、规划设计及森林资源管护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林业草原防灾减灾项目：主要用于林果业病虫害防治，通过该项目的实施有利于加强森林资源保护和灾害防控，严守生态保护红线，建立健全森林资源保护管理。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森林生态效益补偿项目：主要用于监督检查公益林管护面积对林业效益增强供给结构的适应性和灵活性，提高供给体系的质量和效率。有利于满足需求项追求绿色生态可持续、更加注重质的需求转变。保障管护岗位就业人数，加强林业生态工程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主要用于积极开展群众工作，深入基层，帮助群众解决实际困难。通过开展各类活动宣传国家相关政策及法律法规、党的十九大精神及两会精神，维护社会稳定和长治久安，有利于实施开展帮扶工作，开展各类活动和宣讲活动，宣传国家相关政策及法律法规维护社会稳定和长治久安。</w:t>
      </w:r>
      <w:r>
        <w:rPr>
          <w:rFonts w:hint="eastAsia" w:ascii="仿宋_GB2312" w:hAnsi="宋体" w:eastAsia="仿宋_GB2312"/>
          <w:b w:val="0"/>
          <w:bCs/>
          <w:sz w:val="32"/>
          <w:szCs w:val="32"/>
        </w:rPr>
        <w:tab/>
      </w:r>
    </w:p>
    <w:p w14:paraId="69C409F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293DE41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本单位2021年初资产合计数为214.30万元，年末资产合计数为236.73万元。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截止本年度固定资产账面净值141.47万元，年末实际在用固定资产141.47万元，固定资产利用率为100%。</w:t>
      </w:r>
    </w:p>
    <w:p w14:paraId="49D29AD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3D0D40B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部门单位整体支出共设置一级指标3个，二级指标7个，三级指标13个，其中已完成三级指标13个，指标完成率为100%。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“保障人员人数（人）”指标：预期指标值为=37人，实际完成指标值为37人，指标完成率为100%。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“开展群众工作人员（人）”指标：预期指标值为&gt;=12人，实际完成指标值为12人，指标完成率为100%。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“保障车辆（辆）”指标：预期指标值为=4辆，实际完成指标值为4辆，指标完成率为100%。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“对林业和草原及其生态保护修复的监督管理（月）”指标：预期指标值为=12月，实际完成指标值为12月，指标完成率为100%。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“任务完成及时率（%）”指标：预期指标值为=100%，实际完成指标值为100%，指标完成率为100%。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“人员经费（万元）”指标：预期指标值为=492.25万元，实际完成指标值为492.25万元，指标完成率为179.09%。</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“公用经费（万元）”指标：预期指标值为=18.18万元，实际完成指标值为18.18万元，指标完成率为100%。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“项目支出（万元）”指标：预期指标值为=235.43万元，实际完成指标值为235.43万元，指标完成率为100%。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“促进林业生态发展，提供服务和就业”指标：预期指标值为有效促进，实际完成指标值为有效促进，指标完成率为100%。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“提高生态环境建设，推动环境保护”指标：预期指标值为有效提高，实际完成指标值为有效提高，指标完成率为100%。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“受益人员满意度”指标：预期指标值为&gt;=95%，实际完成指标值为95%，指标完成率为100%。</w:t>
      </w:r>
    </w:p>
    <w:p w14:paraId="007BED1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9E5926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5504824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5F4E015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A004D09"/>
    <w:rsid w:val="0D1922F1"/>
    <w:rsid w:val="108622B3"/>
    <w:rsid w:val="1438599A"/>
    <w:rsid w:val="200F4073"/>
    <w:rsid w:val="24B86128"/>
    <w:rsid w:val="2507665C"/>
    <w:rsid w:val="28830F7E"/>
    <w:rsid w:val="2D392BB9"/>
    <w:rsid w:val="3D140987"/>
    <w:rsid w:val="43894E41"/>
    <w:rsid w:val="51C70EA9"/>
    <w:rsid w:val="54F842B6"/>
    <w:rsid w:val="656071F2"/>
    <w:rsid w:val="6BF1756B"/>
    <w:rsid w:val="6F5E1AA3"/>
    <w:rsid w:val="7EE85D47"/>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12810</Words>
  <Characters>13523</Characters>
  <Lines>2</Lines>
  <Paragraphs>1</Paragraphs>
  <TotalTime>0</TotalTime>
  <ScaleCrop>false</ScaleCrop>
  <LinksUpToDate>false</LinksUpToDate>
  <CharactersWithSpaces>13885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2025-07-31T03:18:22Z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